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64BC07" w14:textId="49827BFF" w:rsidR="007E091D" w:rsidRDefault="007E091D" w:rsidP="00950847">
      <w:pPr>
        <w:jc w:val="center"/>
        <w:rPr>
          <w:b/>
        </w:rPr>
      </w:pPr>
      <w:r w:rsidRPr="00712CAF">
        <w:rPr>
          <w:b/>
        </w:rPr>
        <w:t xml:space="preserve">LEA </w:t>
      </w:r>
      <w:r w:rsidR="001E389B">
        <w:rPr>
          <w:b/>
        </w:rPr>
        <w:t xml:space="preserve">Tech Plan </w:t>
      </w:r>
      <w:r w:rsidRPr="00712CAF">
        <w:rPr>
          <w:b/>
        </w:rPr>
        <w:t>Goa</w:t>
      </w:r>
      <w:r>
        <w:rPr>
          <w:b/>
        </w:rPr>
        <w:t>ls and Strategies Crosswalk</w:t>
      </w:r>
      <w:bookmarkStart w:id="0" w:name="_GoBack"/>
      <w:bookmarkEnd w:id="0"/>
    </w:p>
    <w:p w14:paraId="392BCBDC" w14:textId="509B2DB8" w:rsidR="007E091D" w:rsidRPr="007E091D" w:rsidRDefault="007E091D" w:rsidP="007E091D">
      <w:r w:rsidRPr="007E091D">
        <w:t>The table below shows the five goal areas for the 2012-20</w:t>
      </w:r>
      <w:r w:rsidR="00956AEA">
        <w:t>15 Tech Plan and how they align with</w:t>
      </w:r>
      <w:r w:rsidRPr="007E091D">
        <w:t xml:space="preserve"> the seven goal areas in the 2009-2012 Tech Plan</w:t>
      </w:r>
      <w:r w:rsidR="00956AEA">
        <w:t>:</w:t>
      </w:r>
    </w:p>
    <w:p w14:paraId="178E1D41" w14:textId="77777777" w:rsidR="007E091D" w:rsidRPr="00712CAF" w:rsidRDefault="007E091D" w:rsidP="007E091D">
      <w:pPr>
        <w:rPr>
          <w:b/>
        </w:rPr>
      </w:pPr>
    </w:p>
    <w:tbl>
      <w:tblPr>
        <w:tblStyle w:val="TableGrid"/>
        <w:tblW w:w="13878" w:type="dxa"/>
        <w:tblLook w:val="04A0" w:firstRow="1" w:lastRow="0" w:firstColumn="1" w:lastColumn="0" w:noHBand="0" w:noVBand="1"/>
      </w:tblPr>
      <w:tblGrid>
        <w:gridCol w:w="7398"/>
        <w:gridCol w:w="6480"/>
      </w:tblGrid>
      <w:tr w:rsidR="007E091D" w:rsidRPr="00712CAF" w14:paraId="60066E55" w14:textId="77777777" w:rsidTr="007C1E82">
        <w:tc>
          <w:tcPr>
            <w:tcW w:w="7398" w:type="dxa"/>
          </w:tcPr>
          <w:p w14:paraId="42050FBE" w14:textId="77777777" w:rsidR="007E091D" w:rsidRPr="00712CAF" w:rsidRDefault="007E091D" w:rsidP="0053555A">
            <w:pPr>
              <w:jc w:val="center"/>
              <w:rPr>
                <w:b/>
              </w:rPr>
            </w:pPr>
            <w:r w:rsidRPr="00712CAF">
              <w:rPr>
                <w:b/>
              </w:rPr>
              <w:t>Tech Plan 2012-2015</w:t>
            </w:r>
          </w:p>
        </w:tc>
        <w:tc>
          <w:tcPr>
            <w:tcW w:w="6480" w:type="dxa"/>
          </w:tcPr>
          <w:p w14:paraId="5739D0A7" w14:textId="77777777" w:rsidR="007E091D" w:rsidRPr="00712CAF" w:rsidRDefault="007E091D" w:rsidP="0053555A">
            <w:pPr>
              <w:jc w:val="center"/>
              <w:rPr>
                <w:b/>
              </w:rPr>
            </w:pPr>
            <w:r w:rsidRPr="00712CAF">
              <w:rPr>
                <w:b/>
              </w:rPr>
              <w:t>Tech Plan 2009-2012</w:t>
            </w:r>
          </w:p>
        </w:tc>
      </w:tr>
      <w:tr w:rsidR="007E091D" w:rsidRPr="00712CAF" w14:paraId="5DE21134" w14:textId="77777777" w:rsidTr="007C1E82">
        <w:tc>
          <w:tcPr>
            <w:tcW w:w="7398" w:type="dxa"/>
          </w:tcPr>
          <w:p w14:paraId="71C3A0A5" w14:textId="77777777" w:rsidR="007E091D" w:rsidRPr="00712CAF" w:rsidRDefault="007E091D" w:rsidP="007C1E82">
            <w:pPr>
              <w:rPr>
                <w:rFonts w:cs="Calibri"/>
                <w:b/>
              </w:rPr>
            </w:pPr>
            <w:r w:rsidRPr="00712CAF">
              <w:rPr>
                <w:rFonts w:cs="Calibri"/>
                <w:b/>
              </w:rPr>
              <w:t>Goal 1:  Engaging and Empowering Learning Experiences</w:t>
            </w:r>
          </w:p>
          <w:p w14:paraId="78F6DE1D" w14:textId="77777777" w:rsidR="007E091D" w:rsidRPr="00712CAF" w:rsidRDefault="007E091D" w:rsidP="007C1E82">
            <w:pPr>
              <w:rPr>
                <w:b/>
                <w:bCs/>
              </w:rPr>
            </w:pPr>
            <w:r w:rsidRPr="00712CAF">
              <w:rPr>
                <w:rFonts w:cs="Calibri"/>
              </w:rPr>
              <w:t>All learners will have engaging and empowering learning experiences both inside and outside of school that prepare them to be active, creative, knowledgeable and ethical participants in our globally networked society.</w:t>
            </w:r>
          </w:p>
        </w:tc>
        <w:tc>
          <w:tcPr>
            <w:tcW w:w="6480" w:type="dxa"/>
          </w:tcPr>
          <w:p w14:paraId="701F8D51" w14:textId="77777777" w:rsidR="007E091D" w:rsidRDefault="007E091D" w:rsidP="007C1E82">
            <w:r w:rsidRPr="00712CAF">
              <w:rPr>
                <w:b/>
                <w:bCs/>
              </w:rPr>
              <w:t xml:space="preserve">Goal 1:  </w:t>
            </w:r>
            <w:r w:rsidRPr="00712CAF">
              <w:t>Improve student academic achievement through the use of technology in elementary and secondary schools.</w:t>
            </w:r>
          </w:p>
          <w:p w14:paraId="057D3F7C" w14:textId="77777777" w:rsidR="007E091D" w:rsidRDefault="007E091D" w:rsidP="007C1E82">
            <w:r>
              <w:t>AND</w:t>
            </w:r>
          </w:p>
          <w:p w14:paraId="31B3E843" w14:textId="62CAFC8E" w:rsidR="007E091D" w:rsidRPr="00712CAF" w:rsidRDefault="007E091D" w:rsidP="007C1E82">
            <w:r w:rsidRPr="00712CAF">
              <w:rPr>
                <w:b/>
                <w:bCs/>
              </w:rPr>
              <w:t xml:space="preserve">Goal 4:  </w:t>
            </w:r>
            <w:r w:rsidRPr="00712CAF">
              <w:t>Ensure that K-12 resources are available for all students, regardless of race, ethnicity, income, geographical location, or disability, so they can become technologically literate by the end of eighth grade and achieve their academic potential.</w:t>
            </w:r>
          </w:p>
        </w:tc>
      </w:tr>
      <w:tr w:rsidR="00BC063D" w:rsidRPr="00712CAF" w14:paraId="3906A803" w14:textId="77777777" w:rsidTr="007C1E82">
        <w:tc>
          <w:tcPr>
            <w:tcW w:w="7398" w:type="dxa"/>
          </w:tcPr>
          <w:p w14:paraId="24E5AF03" w14:textId="77777777" w:rsidR="00BC063D" w:rsidRPr="00712CAF" w:rsidRDefault="00BC063D" w:rsidP="007C1E82">
            <w:pPr>
              <w:rPr>
                <w:rFonts w:cs="Calibri"/>
                <w:b/>
              </w:rPr>
            </w:pPr>
            <w:r w:rsidRPr="00712CAF">
              <w:rPr>
                <w:rFonts w:cs="Calibri"/>
                <w:b/>
              </w:rPr>
              <w:t>Goal 2:  Assessment</w:t>
            </w:r>
          </w:p>
          <w:p w14:paraId="4F078E3A" w14:textId="1A77CAA7" w:rsidR="00BC063D" w:rsidRPr="00712CAF" w:rsidRDefault="00BC063D" w:rsidP="007C1E82">
            <w:pPr>
              <w:rPr>
                <w:rFonts w:cs="Calibri"/>
                <w:b/>
              </w:rPr>
            </w:pPr>
            <w:r w:rsidRPr="00712CAF">
              <w:rPr>
                <w:rFonts w:cs="Calibri"/>
              </w:rPr>
              <w:t>At all levels, our education system will leverage the power of technology to measure what matters and use assessment data for continuous improvement.</w:t>
            </w:r>
          </w:p>
        </w:tc>
        <w:tc>
          <w:tcPr>
            <w:tcW w:w="6480" w:type="dxa"/>
          </w:tcPr>
          <w:p w14:paraId="6FE82CAC" w14:textId="00A623DE" w:rsidR="00BC063D" w:rsidRPr="00712CAF" w:rsidRDefault="00BC063D" w:rsidP="007C1E82">
            <w:pPr>
              <w:rPr>
                <w:b/>
                <w:bCs/>
              </w:rPr>
            </w:pPr>
            <w:r w:rsidRPr="00712CAF">
              <w:rPr>
                <w:b/>
                <w:bCs/>
              </w:rPr>
              <w:t xml:space="preserve">Goal 5:  </w:t>
            </w:r>
            <w:r w:rsidRPr="00712CAF">
              <w:t>Develop a continuous process of evaluation and accountability for the use of educational technology as: a teaching and learning tool, a measurement and analysis tool for student achievement, and a fiscal management tool.</w:t>
            </w:r>
          </w:p>
        </w:tc>
      </w:tr>
      <w:tr w:rsidR="00BC063D" w:rsidRPr="00712CAF" w14:paraId="6052056A" w14:textId="77777777" w:rsidTr="007C1E82">
        <w:tc>
          <w:tcPr>
            <w:tcW w:w="7398" w:type="dxa"/>
          </w:tcPr>
          <w:p w14:paraId="44BAE0F1" w14:textId="30F9309E" w:rsidR="00BC063D" w:rsidRPr="00712CAF" w:rsidRDefault="00BC063D" w:rsidP="007C1E82">
            <w:pPr>
              <w:rPr>
                <w:rFonts w:cs="Calibri"/>
                <w:b/>
              </w:rPr>
            </w:pPr>
            <w:r w:rsidRPr="00712CAF">
              <w:rPr>
                <w:rFonts w:cs="Calibri"/>
                <w:b/>
              </w:rPr>
              <w:t xml:space="preserve">Goal 3:  Connected Teaching and Learning </w:t>
            </w:r>
          </w:p>
          <w:p w14:paraId="50544A5A" w14:textId="77777777" w:rsidR="00BC063D" w:rsidRPr="00712CAF" w:rsidRDefault="00BC063D" w:rsidP="007C1E82">
            <w:pPr>
              <w:rPr>
                <w:b/>
                <w:bCs/>
              </w:rPr>
            </w:pPr>
            <w:r w:rsidRPr="00712CAF">
              <w:rPr>
                <w:rFonts w:cs="Calibri"/>
              </w:rPr>
              <w:t>Professional educators will be supported individually, and in teams, by technology that connects them to data, content, resources, expertise and learning experiences that can empower and inspire them to provide more effective teaching for all learners.</w:t>
            </w:r>
          </w:p>
        </w:tc>
        <w:tc>
          <w:tcPr>
            <w:tcW w:w="6480" w:type="dxa"/>
          </w:tcPr>
          <w:p w14:paraId="4CB53F81" w14:textId="77777777" w:rsidR="00BC063D" w:rsidRPr="00712CAF" w:rsidRDefault="00BC063D" w:rsidP="007C1E82">
            <w:r w:rsidRPr="00712CAF">
              <w:rPr>
                <w:b/>
                <w:bCs/>
              </w:rPr>
              <w:t xml:space="preserve">Goal 2:  </w:t>
            </w:r>
            <w:r w:rsidRPr="00712CAF">
              <w:t xml:space="preserve">Ensure that all educators are proficient in the use and integration of technology and ongoing professional development activities are provided.  </w:t>
            </w:r>
          </w:p>
        </w:tc>
      </w:tr>
      <w:tr w:rsidR="00BC063D" w:rsidRPr="00712CAF" w14:paraId="79EA3622" w14:textId="77777777" w:rsidTr="007C1E82">
        <w:tc>
          <w:tcPr>
            <w:tcW w:w="7398" w:type="dxa"/>
          </w:tcPr>
          <w:p w14:paraId="45A68D46" w14:textId="77777777" w:rsidR="00BC063D" w:rsidRPr="00712CAF" w:rsidRDefault="00BC063D" w:rsidP="007C1E82">
            <w:pPr>
              <w:rPr>
                <w:rFonts w:cs="Calibri"/>
                <w:b/>
              </w:rPr>
            </w:pPr>
            <w:r w:rsidRPr="00712CAF">
              <w:rPr>
                <w:rFonts w:cs="Calibri"/>
                <w:b/>
              </w:rPr>
              <w:t>Goal 4:  Infrastructure for Teaching and Learning</w:t>
            </w:r>
          </w:p>
          <w:p w14:paraId="21868123" w14:textId="77777777" w:rsidR="00BC063D" w:rsidRPr="00712CAF" w:rsidRDefault="00BC063D" w:rsidP="007C1E82">
            <w:pPr>
              <w:rPr>
                <w:b/>
                <w:bCs/>
              </w:rPr>
            </w:pPr>
            <w:r w:rsidRPr="00712CAF">
              <w:rPr>
                <w:rFonts w:cs="Calibri"/>
              </w:rPr>
              <w:t>All students and educators will have access to a comprehensive infrastructure for learning, when and where they need it.</w:t>
            </w:r>
          </w:p>
        </w:tc>
        <w:tc>
          <w:tcPr>
            <w:tcW w:w="6480" w:type="dxa"/>
          </w:tcPr>
          <w:p w14:paraId="00BA9BCC" w14:textId="77777777" w:rsidR="00BC063D" w:rsidRDefault="00BC063D" w:rsidP="007C1E82">
            <w:r w:rsidRPr="00712CAF">
              <w:rPr>
                <w:b/>
                <w:bCs/>
              </w:rPr>
              <w:t xml:space="preserve">Goal 3:  </w:t>
            </w:r>
            <w:r w:rsidRPr="00712CAF">
              <w:t>Ensure that all K-12 educational institutions have the capacity, infrastructure, staffing, and equipment to meet academic and business needs for effective and efficient operations.</w:t>
            </w:r>
          </w:p>
          <w:p w14:paraId="11F791AB" w14:textId="77777777" w:rsidR="00BC063D" w:rsidRDefault="00BC063D" w:rsidP="007C1E82">
            <w:r>
              <w:t>AND</w:t>
            </w:r>
          </w:p>
          <w:p w14:paraId="4014D2DD" w14:textId="4F4EB265" w:rsidR="00BC063D" w:rsidRPr="00712CAF" w:rsidRDefault="00BC063D" w:rsidP="007C1E82">
            <w:r w:rsidRPr="00712CAF">
              <w:rPr>
                <w:b/>
                <w:bCs/>
              </w:rPr>
              <w:t xml:space="preserve">Goal 7:  </w:t>
            </w:r>
            <w:r w:rsidRPr="00712CAF">
              <w:t>Develop a telecommunications services plan that will support both instructional needs and administrative requirements.</w:t>
            </w:r>
          </w:p>
        </w:tc>
      </w:tr>
      <w:tr w:rsidR="00BC063D" w:rsidRPr="00712CAF" w14:paraId="2455D85B" w14:textId="77777777" w:rsidTr="007C1E82">
        <w:tc>
          <w:tcPr>
            <w:tcW w:w="7398" w:type="dxa"/>
          </w:tcPr>
          <w:p w14:paraId="08E32C29" w14:textId="619C00B5" w:rsidR="00BC063D" w:rsidRPr="00712CAF" w:rsidRDefault="00BC063D" w:rsidP="007C1E82">
            <w:pPr>
              <w:rPr>
                <w:rFonts w:cs="Calibri"/>
              </w:rPr>
            </w:pPr>
            <w:r w:rsidRPr="00712CAF">
              <w:rPr>
                <w:rFonts w:cs="Calibri"/>
                <w:b/>
              </w:rPr>
              <w:t>Goal 5:  Productivity and Efficiency</w:t>
            </w:r>
          </w:p>
          <w:p w14:paraId="0E21D473" w14:textId="77777777" w:rsidR="00BC063D" w:rsidRPr="00712CAF" w:rsidRDefault="00BC063D" w:rsidP="007C1E82">
            <w:pPr>
              <w:rPr>
                <w:b/>
                <w:bCs/>
              </w:rPr>
            </w:pPr>
            <w:r w:rsidRPr="00712CAF">
              <w:rPr>
                <w:rFonts w:cs="Calibri"/>
              </w:rPr>
              <w:t>At all levels, our education system will redesign processes and structures to take advantage of the power of technology to improve learning outcomes while making more efficient use of time, money and staff.</w:t>
            </w:r>
          </w:p>
        </w:tc>
        <w:tc>
          <w:tcPr>
            <w:tcW w:w="6480" w:type="dxa"/>
          </w:tcPr>
          <w:p w14:paraId="42DFF20E" w14:textId="77777777" w:rsidR="00BC063D" w:rsidRPr="00712CAF" w:rsidRDefault="00BC063D" w:rsidP="007C1E82">
            <w:r w:rsidRPr="00712CAF">
              <w:rPr>
                <w:b/>
                <w:bCs/>
              </w:rPr>
              <w:t xml:space="preserve">Goal 6:  </w:t>
            </w:r>
            <w:r w:rsidRPr="00712CAF">
              <w:t>Develop a schema of current and future financing requirements to support the LEA’s Technology Plan.</w:t>
            </w:r>
          </w:p>
        </w:tc>
      </w:tr>
    </w:tbl>
    <w:p w14:paraId="236C2BB7" w14:textId="77777777" w:rsidR="00AC24D1" w:rsidRPr="00712CAF" w:rsidRDefault="00AC24D1" w:rsidP="00AC24D1"/>
    <w:sectPr w:rsidR="00AC24D1" w:rsidRPr="00712CAF" w:rsidSect="00550853">
      <w:pgSz w:w="15840" w:h="12240" w:orient="landscape"/>
      <w:pgMar w:top="1080" w:right="1080" w:bottom="72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4D1"/>
    <w:rsid w:val="00166C59"/>
    <w:rsid w:val="001E389B"/>
    <w:rsid w:val="002343ED"/>
    <w:rsid w:val="00296655"/>
    <w:rsid w:val="0053555A"/>
    <w:rsid w:val="00550853"/>
    <w:rsid w:val="00712CAF"/>
    <w:rsid w:val="00765403"/>
    <w:rsid w:val="00784298"/>
    <w:rsid w:val="007E091D"/>
    <w:rsid w:val="00950847"/>
    <w:rsid w:val="00956AEA"/>
    <w:rsid w:val="00A973D6"/>
    <w:rsid w:val="00AC24D1"/>
    <w:rsid w:val="00B77DA0"/>
    <w:rsid w:val="00BC063D"/>
    <w:rsid w:val="00BF2483"/>
    <w:rsid w:val="00CD2490"/>
    <w:rsid w:val="00E036F2"/>
    <w:rsid w:val="00FD19D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4D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2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AC24D1"/>
    <w:pPr>
      <w:tabs>
        <w:tab w:val="left" w:pos="1800"/>
      </w:tabs>
      <w:ind w:left="1440"/>
    </w:pPr>
    <w:rPr>
      <w:rFonts w:ascii="Arial" w:eastAsia="Times New Roman" w:hAnsi="Arial" w:cs="Arial"/>
      <w:color w:val="FF0000"/>
      <w:sz w:val="22"/>
      <w:szCs w:val="22"/>
    </w:rPr>
  </w:style>
  <w:style w:type="character" w:customStyle="1" w:styleId="BodyTextIndent3Char">
    <w:name w:val="Body Text Indent 3 Char"/>
    <w:basedOn w:val="DefaultParagraphFont"/>
    <w:link w:val="BodyTextIndent3"/>
    <w:rsid w:val="00AC24D1"/>
    <w:rPr>
      <w:rFonts w:ascii="Arial" w:eastAsia="Times New Roman" w:hAnsi="Arial" w:cs="Arial"/>
      <w:color w:val="FF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2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AC24D1"/>
    <w:pPr>
      <w:tabs>
        <w:tab w:val="left" w:pos="1800"/>
      </w:tabs>
      <w:ind w:left="1440"/>
    </w:pPr>
    <w:rPr>
      <w:rFonts w:ascii="Arial" w:eastAsia="Times New Roman" w:hAnsi="Arial" w:cs="Arial"/>
      <w:color w:val="FF0000"/>
      <w:sz w:val="22"/>
      <w:szCs w:val="22"/>
    </w:rPr>
  </w:style>
  <w:style w:type="character" w:customStyle="1" w:styleId="BodyTextIndent3Char">
    <w:name w:val="Body Text Indent 3 Char"/>
    <w:basedOn w:val="DefaultParagraphFont"/>
    <w:link w:val="BodyTextIndent3"/>
    <w:rsid w:val="00AC24D1"/>
    <w:rPr>
      <w:rFonts w:ascii="Arial" w:eastAsia="Times New Roman" w:hAnsi="Arial" w:cs="Arial"/>
      <w:color w:val="FF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384</Words>
  <Characters>2191</Characters>
  <Application>Microsoft Macintosh Word</Application>
  <DocSecurity>0</DocSecurity>
  <Lines>18</Lines>
  <Paragraphs>5</Paragraphs>
  <ScaleCrop>false</ScaleCrop>
  <Company>EASTCONN</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Skelly</dc:creator>
  <cp:keywords/>
  <dc:description/>
  <cp:lastModifiedBy>Pam Skelly</cp:lastModifiedBy>
  <cp:revision>6</cp:revision>
  <cp:lastPrinted>2011-12-22T18:09:00Z</cp:lastPrinted>
  <dcterms:created xsi:type="dcterms:W3CDTF">2011-12-22T18:08:00Z</dcterms:created>
  <dcterms:modified xsi:type="dcterms:W3CDTF">2011-12-22T18:13:00Z</dcterms:modified>
</cp:coreProperties>
</file>